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6E4DB5">
      <w:pPr>
        <w:spacing w:after="0" w:line="240" w:lineRule="auto"/>
        <w:ind w:right="-1"/>
        <w:rPr>
          <w:rFonts w:ascii="Times New Roman" w:hAnsi="Times New Roman"/>
          <w:b/>
        </w:rPr>
        <w:sectPr w:rsidR="006E4DB5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A408C2" w:rsidP="00A408C2">
      <w:pPr>
        <w:spacing w:after="0" w:line="240" w:lineRule="auto"/>
        <w:ind w:left="623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</w:t>
      </w:r>
      <w:r w:rsidR="006E4DB5" w:rsidRPr="00DC3849">
        <w:rPr>
          <w:rFonts w:ascii="Times New Roman" w:hAnsi="Times New Roman"/>
          <w:sz w:val="18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 xml:space="preserve"> </w:t>
      </w:r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266B1A" w:rsidRPr="00DC3849">
        <w:rPr>
          <w:rFonts w:ascii="Times New Roman" w:hAnsi="Times New Roman"/>
        </w:rPr>
        <w:t xml:space="preserve">fabrycznie nowych </w:t>
      </w:r>
      <w:r w:rsidR="005045DC">
        <w:rPr>
          <w:rFonts w:ascii="Times New Roman" w:hAnsi="Times New Roman"/>
        </w:rPr>
        <w:t>gazów pieprzowych</w:t>
      </w:r>
      <w:r w:rsidR="00732FD6">
        <w:rPr>
          <w:rFonts w:ascii="Times New Roman" w:hAnsi="Times New Roman"/>
        </w:rPr>
        <w:t xml:space="preserve"> o pojemności 550</w:t>
      </w:r>
      <w:r w:rsidR="00A408C2">
        <w:rPr>
          <w:rFonts w:ascii="Times New Roman" w:hAnsi="Times New Roman"/>
        </w:rPr>
        <w:t xml:space="preserve"> </w:t>
      </w:r>
      <w:r w:rsidR="00732FD6">
        <w:rPr>
          <w:rFonts w:ascii="Times New Roman" w:hAnsi="Times New Roman"/>
        </w:rPr>
        <w:t>ml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850"/>
        <w:gridCol w:w="1134"/>
        <w:gridCol w:w="425"/>
        <w:gridCol w:w="1134"/>
        <w:gridCol w:w="993"/>
        <w:gridCol w:w="1134"/>
      </w:tblGrid>
      <w:tr w:rsidR="009C220D" w:rsidRPr="00DC3849" w:rsidTr="00A408C2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134" w:type="dxa"/>
          </w:tcPr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9C220D" w:rsidRPr="009C220D" w:rsidRDefault="009C220D" w:rsidP="00A408C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9C220D" w:rsidRPr="00DC3849" w:rsidTr="008417EF">
        <w:trPr>
          <w:trHeight w:val="3974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9" w:type="dxa"/>
          </w:tcPr>
          <w:p w:rsidR="001F1AED" w:rsidRPr="00A408C2" w:rsidRDefault="001F1AED" w:rsidP="008417EF">
            <w:pPr>
              <w:spacing w:after="0" w:line="240" w:lineRule="auto"/>
              <w:ind w:right="-110"/>
              <w:rPr>
                <w:rFonts w:ascii="Times New Roman" w:eastAsiaTheme="minorHAnsi" w:hAnsi="Times New Roman"/>
                <w:b/>
                <w:sz w:val="20"/>
                <w:szCs w:val="19"/>
              </w:rPr>
            </w:pPr>
            <w:r w:rsidRPr="00A408C2">
              <w:rPr>
                <w:rFonts w:ascii="Times New Roman" w:eastAsiaTheme="minorHAnsi" w:hAnsi="Times New Roman"/>
                <w:b/>
                <w:sz w:val="20"/>
                <w:szCs w:val="19"/>
              </w:rPr>
              <w:t>Fabrycznie nowy gaz pieprzowy w żelu: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Pojemność: 550 ml,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Ilość środka czynnego: min. 450ml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Forma wyrzutu mieszanki: strumień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 xml:space="preserve">Pojemnik z uchwytem / rączką 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Pojemnik wyposażony w zabezpieczenie przed niekontrolowanym rozpyleniem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Składniki aktywny gazu: olejożywica pieprzu naturalnego, zawierająca nie mniej niż: 10% olejku pieprzowego, 1.33 % kapsaicyny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Skuteczny zasięg: minimum 4 metry</w:t>
            </w:r>
          </w:p>
          <w:p w:rsidR="001F1AED" w:rsidRPr="001F1AED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Gwarancja / termin przydatności - minimum 36 miesięcy</w:t>
            </w:r>
          </w:p>
          <w:p w:rsidR="00A408C2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right="-110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1F1AED">
              <w:rPr>
                <w:rFonts w:ascii="Times New Roman" w:eastAsiaTheme="minorHAnsi" w:hAnsi="Times New Roman"/>
                <w:sz w:val="19"/>
                <w:szCs w:val="19"/>
              </w:rPr>
              <w:t>Dołączona aktualna karta charakterystyki</w:t>
            </w:r>
            <w:r w:rsidR="00ED48D9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="00ED48D9" w:rsidRPr="00ED48D9">
              <w:rPr>
                <w:rFonts w:ascii="Times New Roman" w:eastAsiaTheme="minorHAnsi" w:hAnsi="Times New Roman"/>
                <w:sz w:val="19"/>
                <w:szCs w:val="19"/>
              </w:rPr>
              <w:t>oraz karta produktu</w:t>
            </w:r>
          </w:p>
          <w:p w:rsidR="009C220D" w:rsidRPr="00A408C2" w:rsidRDefault="001F1AED" w:rsidP="008417EF">
            <w:pPr>
              <w:numPr>
                <w:ilvl w:val="0"/>
                <w:numId w:val="16"/>
              </w:numPr>
              <w:spacing w:after="0" w:line="240" w:lineRule="auto"/>
              <w:ind w:left="176" w:hanging="21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A408C2">
              <w:rPr>
                <w:rFonts w:ascii="Times New Roman" w:eastAsiaTheme="minorHAnsi" w:hAnsi="Times New Roman"/>
                <w:sz w:val="19"/>
                <w:szCs w:val="19"/>
              </w:rPr>
              <w:t>Atest higieniczny wydany przez akredytowane laboratorium, poświadczające, że zastosowana mieszanka jest bezpieczna dla ludzi i</w:t>
            </w:r>
            <w:bookmarkStart w:id="0" w:name="_GoBack"/>
            <w:bookmarkEnd w:id="0"/>
            <w:r w:rsidRPr="00A408C2">
              <w:rPr>
                <w:rFonts w:ascii="Times New Roman" w:eastAsiaTheme="minorHAnsi" w:hAnsi="Times New Roman"/>
                <w:sz w:val="19"/>
                <w:szCs w:val="19"/>
              </w:rPr>
              <w:t xml:space="preserve"> środowiska</w:t>
            </w:r>
          </w:p>
        </w:tc>
        <w:tc>
          <w:tcPr>
            <w:tcW w:w="850" w:type="dxa"/>
          </w:tcPr>
          <w:p w:rsidR="009C220D" w:rsidRPr="009C220D" w:rsidRDefault="009C220D" w:rsidP="00A408C2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322F8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370902">
              <w:rPr>
                <w:rFonts w:ascii="Times New Roman" w:hAnsi="Times New Roman"/>
                <w:b/>
                <w:sz w:val="20"/>
                <w:szCs w:val="20"/>
              </w:rPr>
              <w:t xml:space="preserve"> szt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A408C2">
        <w:trPr>
          <w:trHeight w:val="512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Default="006E4DB5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</w:t>
      </w:r>
      <w:r w:rsidR="00732FD6">
        <w:rPr>
          <w:rFonts w:ascii="Times New Roman" w:hAnsi="Times New Roman"/>
          <w:sz w:val="24"/>
          <w:szCs w:val="20"/>
        </w:rPr>
        <w:t xml:space="preserve">alizacji zamówienia: </w:t>
      </w:r>
      <w:r w:rsidR="00732FD6" w:rsidRPr="00A408C2">
        <w:rPr>
          <w:rFonts w:ascii="Times New Roman" w:hAnsi="Times New Roman"/>
          <w:b/>
          <w:sz w:val="24"/>
          <w:szCs w:val="20"/>
          <w:u w:val="single"/>
        </w:rPr>
        <w:t>do 4 dni roboczych</w:t>
      </w:r>
      <w:r w:rsidR="00732FD6">
        <w:rPr>
          <w:rFonts w:ascii="Times New Roman" w:hAnsi="Times New Roman"/>
          <w:sz w:val="24"/>
          <w:szCs w:val="20"/>
        </w:rPr>
        <w:t xml:space="preserve"> od daty złożenia zamówienia.</w:t>
      </w:r>
    </w:p>
    <w:p w:rsidR="00D33C9A" w:rsidRDefault="00D33C9A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Gwarancja na </w:t>
      </w:r>
      <w:r w:rsidR="00732FD6">
        <w:rPr>
          <w:rFonts w:ascii="Times New Roman" w:hAnsi="Times New Roman"/>
          <w:sz w:val="24"/>
          <w:szCs w:val="20"/>
        </w:rPr>
        <w:t>przedmiot zamów</w:t>
      </w:r>
      <w:r w:rsidR="00A408C2">
        <w:rPr>
          <w:rFonts w:ascii="Times New Roman" w:hAnsi="Times New Roman"/>
          <w:sz w:val="24"/>
          <w:szCs w:val="20"/>
        </w:rPr>
        <w:t xml:space="preserve">ienia / termin przydatności </w:t>
      </w:r>
      <w:r w:rsidR="00A408C2" w:rsidRPr="00A408C2">
        <w:rPr>
          <w:rFonts w:ascii="Times New Roman" w:hAnsi="Times New Roman"/>
          <w:b/>
          <w:sz w:val="24"/>
          <w:szCs w:val="20"/>
          <w:u w:val="single"/>
        </w:rPr>
        <w:t>minimum</w:t>
      </w:r>
      <w:r w:rsidR="00732FD6" w:rsidRPr="00A408C2">
        <w:rPr>
          <w:rFonts w:ascii="Times New Roman" w:hAnsi="Times New Roman"/>
          <w:b/>
          <w:sz w:val="24"/>
          <w:szCs w:val="20"/>
          <w:u w:val="single"/>
        </w:rPr>
        <w:t xml:space="preserve"> 36 miesięcy</w:t>
      </w:r>
      <w:r w:rsidR="00732FD6">
        <w:rPr>
          <w:rFonts w:ascii="Times New Roman" w:hAnsi="Times New Roman"/>
          <w:sz w:val="24"/>
          <w:szCs w:val="20"/>
        </w:rPr>
        <w:t>.</w:t>
      </w:r>
    </w:p>
    <w:p w:rsidR="00732FD6" w:rsidRDefault="00732FD6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A408C2">
        <w:rPr>
          <w:rFonts w:ascii="Times New Roman" w:hAnsi="Times New Roman"/>
          <w:b/>
          <w:sz w:val="24"/>
          <w:szCs w:val="20"/>
          <w:u w:val="single"/>
        </w:rPr>
        <w:t>W załączeniu aktualna karta charakterystyki</w:t>
      </w:r>
      <w:r w:rsidR="00515E72">
        <w:rPr>
          <w:rFonts w:ascii="Times New Roman" w:hAnsi="Times New Roman"/>
          <w:b/>
          <w:sz w:val="24"/>
          <w:szCs w:val="20"/>
          <w:u w:val="single"/>
        </w:rPr>
        <w:t>, atest higieniczny oraz karta produktu</w:t>
      </w:r>
      <w:r>
        <w:rPr>
          <w:rFonts w:ascii="Times New Roman" w:hAnsi="Times New Roman"/>
          <w:sz w:val="24"/>
          <w:szCs w:val="20"/>
        </w:rPr>
        <w:t>.</w:t>
      </w:r>
    </w:p>
    <w:p w:rsidR="00F80E07" w:rsidRPr="00F80E07" w:rsidRDefault="00F80E07" w:rsidP="00F80E07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6E4DB5" w:rsidRPr="00DC3849" w:rsidRDefault="006E4DB5" w:rsidP="009C220D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 w:rsidR="009C220D"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6E4DB5" w:rsidRPr="00DC3849" w:rsidRDefault="006E4DB5" w:rsidP="009C220D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6E4DB5" w:rsidRDefault="006E4DB5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08C2" w:rsidRDefault="00A408C2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0DED" w:rsidRDefault="004C0DED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0DED" w:rsidRDefault="004C0DED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08C2" w:rsidRDefault="00A408C2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08C2" w:rsidRDefault="00A408C2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0D29A3" w:rsidRPr="00411377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0D29A3" w:rsidRPr="00411377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28" w:rsidRDefault="00D87428">
      <w:pPr>
        <w:spacing w:after="0" w:line="240" w:lineRule="auto"/>
      </w:pPr>
      <w:r>
        <w:separator/>
      </w:r>
    </w:p>
  </w:endnote>
  <w:endnote w:type="continuationSeparator" w:id="0">
    <w:p w:rsidR="00D87428" w:rsidRDefault="00D8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28" w:rsidRDefault="00D87428">
      <w:pPr>
        <w:spacing w:after="0" w:line="240" w:lineRule="auto"/>
      </w:pPr>
      <w:r>
        <w:separator/>
      </w:r>
    </w:p>
  </w:footnote>
  <w:footnote w:type="continuationSeparator" w:id="0">
    <w:p w:rsidR="00D87428" w:rsidRDefault="00D8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D87428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22F8"/>
    <w:rsid w:val="0007245D"/>
    <w:rsid w:val="000A0BA6"/>
    <w:rsid w:val="000B6623"/>
    <w:rsid w:val="000D29A3"/>
    <w:rsid w:val="000D2BBD"/>
    <w:rsid w:val="000E7A11"/>
    <w:rsid w:val="00111A9D"/>
    <w:rsid w:val="001235EE"/>
    <w:rsid w:val="00124C04"/>
    <w:rsid w:val="00144C11"/>
    <w:rsid w:val="001A0D5A"/>
    <w:rsid w:val="001E70D0"/>
    <w:rsid w:val="001F1AED"/>
    <w:rsid w:val="002667F7"/>
    <w:rsid w:val="00266B1A"/>
    <w:rsid w:val="0032147B"/>
    <w:rsid w:val="00337929"/>
    <w:rsid w:val="00370902"/>
    <w:rsid w:val="003B658E"/>
    <w:rsid w:val="003D02D5"/>
    <w:rsid w:val="00411377"/>
    <w:rsid w:val="00436134"/>
    <w:rsid w:val="00457548"/>
    <w:rsid w:val="004659C3"/>
    <w:rsid w:val="0047474B"/>
    <w:rsid w:val="004C0DED"/>
    <w:rsid w:val="00502397"/>
    <w:rsid w:val="005045DC"/>
    <w:rsid w:val="00515A02"/>
    <w:rsid w:val="00515E72"/>
    <w:rsid w:val="00540101"/>
    <w:rsid w:val="005A180E"/>
    <w:rsid w:val="00600246"/>
    <w:rsid w:val="00600421"/>
    <w:rsid w:val="0064406D"/>
    <w:rsid w:val="00657656"/>
    <w:rsid w:val="00674628"/>
    <w:rsid w:val="006D2B64"/>
    <w:rsid w:val="006E4DB5"/>
    <w:rsid w:val="00732FD6"/>
    <w:rsid w:val="007563ED"/>
    <w:rsid w:val="00784FB7"/>
    <w:rsid w:val="00795A5C"/>
    <w:rsid w:val="007D39AA"/>
    <w:rsid w:val="007F0E34"/>
    <w:rsid w:val="00817410"/>
    <w:rsid w:val="008417EF"/>
    <w:rsid w:val="008605DD"/>
    <w:rsid w:val="008E4ADF"/>
    <w:rsid w:val="008F1961"/>
    <w:rsid w:val="00906C21"/>
    <w:rsid w:val="009416A8"/>
    <w:rsid w:val="00945459"/>
    <w:rsid w:val="0095744E"/>
    <w:rsid w:val="00986207"/>
    <w:rsid w:val="009C220D"/>
    <w:rsid w:val="009E357E"/>
    <w:rsid w:val="00A10D2F"/>
    <w:rsid w:val="00A26462"/>
    <w:rsid w:val="00A408C2"/>
    <w:rsid w:val="00A43108"/>
    <w:rsid w:val="00A51E48"/>
    <w:rsid w:val="00A7542B"/>
    <w:rsid w:val="00AC2D8B"/>
    <w:rsid w:val="00AE3237"/>
    <w:rsid w:val="00AF0070"/>
    <w:rsid w:val="00B438F4"/>
    <w:rsid w:val="00B60CB7"/>
    <w:rsid w:val="00B65C71"/>
    <w:rsid w:val="00B90581"/>
    <w:rsid w:val="00BB2552"/>
    <w:rsid w:val="00BB4E64"/>
    <w:rsid w:val="00BD2B03"/>
    <w:rsid w:val="00C13D9E"/>
    <w:rsid w:val="00C906D6"/>
    <w:rsid w:val="00C94911"/>
    <w:rsid w:val="00C977DC"/>
    <w:rsid w:val="00CD1D0E"/>
    <w:rsid w:val="00D26380"/>
    <w:rsid w:val="00D33C9A"/>
    <w:rsid w:val="00D44A77"/>
    <w:rsid w:val="00D805A6"/>
    <w:rsid w:val="00D87428"/>
    <w:rsid w:val="00DC3849"/>
    <w:rsid w:val="00DF2BCE"/>
    <w:rsid w:val="00DF554D"/>
    <w:rsid w:val="00EC047F"/>
    <w:rsid w:val="00EC5F52"/>
    <w:rsid w:val="00ED48D9"/>
    <w:rsid w:val="00F119F6"/>
    <w:rsid w:val="00F779ED"/>
    <w:rsid w:val="00F80E07"/>
    <w:rsid w:val="00FD3EAB"/>
    <w:rsid w:val="00FE73DB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A1AD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EC84-74A0-4638-9E7E-620FB6D4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18</cp:revision>
  <cp:lastPrinted>2025-08-28T08:35:00Z</cp:lastPrinted>
  <dcterms:created xsi:type="dcterms:W3CDTF">2025-09-23T07:52:00Z</dcterms:created>
  <dcterms:modified xsi:type="dcterms:W3CDTF">2025-09-25T08:19:00Z</dcterms:modified>
</cp:coreProperties>
</file>