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7E" w:rsidRPr="00981B26" w:rsidRDefault="00981B26" w:rsidP="00981B26">
      <w:pPr>
        <w:spacing w:after="285" w:line="259" w:lineRule="auto"/>
        <w:ind w:left="0" w:right="311" w:firstLine="0"/>
      </w:pPr>
      <w:bookmarkStart w:id="0" w:name="_GoBack"/>
      <w:bookmarkEnd w:id="0"/>
      <w:r>
        <w:t xml:space="preserve">                                                                                                              </w:t>
      </w:r>
      <w:r w:rsidR="0050657E">
        <w:t xml:space="preserve">                                                                                           </w:t>
      </w:r>
      <w:r>
        <w:t xml:space="preserve">  Załącznik nr 1</w:t>
      </w:r>
    </w:p>
    <w:p w:rsidR="00C91C34" w:rsidRDefault="0050657E">
      <w:pPr>
        <w:tabs>
          <w:tab w:val="center" w:pos="6447"/>
          <w:tab w:val="center" w:pos="8904"/>
        </w:tabs>
        <w:spacing w:after="3" w:line="259" w:lineRule="auto"/>
        <w:ind w:left="0" w:firstLine="0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981B26">
        <w:rPr>
          <w:b/>
        </w:rPr>
        <w:t xml:space="preserve">                       </w:t>
      </w:r>
      <w:r>
        <w:rPr>
          <w:b/>
        </w:rPr>
        <w:t xml:space="preserve">   </w:t>
      </w:r>
      <w:r w:rsidR="00981B26">
        <w:rPr>
          <w:b/>
        </w:rPr>
        <w:t xml:space="preserve">OFERTA </w:t>
      </w:r>
      <w:r>
        <w:rPr>
          <w:b/>
        </w:rPr>
        <w:t xml:space="preserve"> </w:t>
      </w:r>
      <w:r w:rsidR="00981B26">
        <w:rPr>
          <w:b/>
        </w:rPr>
        <w:t xml:space="preserve">CENOWA </w:t>
      </w:r>
    </w:p>
    <w:p w:rsidR="00AE7104" w:rsidRPr="00981B26" w:rsidRDefault="00981B26">
      <w:pPr>
        <w:tabs>
          <w:tab w:val="center" w:pos="6447"/>
          <w:tab w:val="center" w:pos="8904"/>
        </w:tabs>
        <w:spacing w:after="3" w:line="259" w:lineRule="auto"/>
        <w:ind w:left="0" w:firstLine="0"/>
        <w:rPr>
          <w:b/>
        </w:rPr>
      </w:pPr>
      <w:r>
        <w:rPr>
          <w:b/>
        </w:rPr>
        <w:t xml:space="preserve">               </w:t>
      </w:r>
      <w:r w:rsidR="00C91C34" w:rsidRPr="00C91C34">
        <w:rPr>
          <w:b/>
        </w:rPr>
        <w:t>Część I – Dostawa wody mineralnej lub źródlanej w butlach 5-galonowych (18,9 L.)</w:t>
      </w:r>
      <w:r>
        <w:rPr>
          <w:b/>
        </w:rPr>
        <w:t xml:space="preserve">         </w:t>
      </w:r>
    </w:p>
    <w:tbl>
      <w:tblPr>
        <w:tblStyle w:val="TableGrid"/>
        <w:tblW w:w="12799" w:type="dxa"/>
        <w:tblInd w:w="825" w:type="dxa"/>
        <w:tblCellMar>
          <w:top w:w="63" w:type="dxa"/>
          <w:left w:w="102" w:type="dxa"/>
          <w:right w:w="54" w:type="dxa"/>
        </w:tblCellMar>
        <w:tblLook w:val="04A0" w:firstRow="1" w:lastRow="0" w:firstColumn="1" w:lastColumn="0" w:noHBand="0" w:noVBand="1"/>
      </w:tblPr>
      <w:tblGrid>
        <w:gridCol w:w="552"/>
        <w:gridCol w:w="3374"/>
        <w:gridCol w:w="1500"/>
        <w:gridCol w:w="918"/>
        <w:gridCol w:w="1320"/>
        <w:gridCol w:w="1468"/>
        <w:gridCol w:w="1833"/>
        <w:gridCol w:w="1834"/>
      </w:tblGrid>
      <w:tr w:rsidR="00AE7104" w:rsidTr="006848A5">
        <w:trPr>
          <w:trHeight w:val="326"/>
        </w:trPr>
        <w:tc>
          <w:tcPr>
            <w:tcW w:w="552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AE7104" w:rsidRPr="006F2CA2" w:rsidRDefault="006F2CA2" w:rsidP="006F2CA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81B26" w:rsidRPr="006F2CA2">
              <w:rPr>
                <w:sz w:val="20"/>
                <w:szCs w:val="20"/>
              </w:rPr>
              <w:t>Lp.</w:t>
            </w:r>
          </w:p>
        </w:tc>
        <w:tc>
          <w:tcPr>
            <w:tcW w:w="3374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AE7104" w:rsidRPr="006F2CA2" w:rsidRDefault="00981B26" w:rsidP="006F2CA2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6F2CA2">
              <w:rPr>
                <w:sz w:val="20"/>
                <w:szCs w:val="20"/>
              </w:rPr>
              <w:t>Nazwa</w:t>
            </w:r>
          </w:p>
        </w:tc>
        <w:tc>
          <w:tcPr>
            <w:tcW w:w="1500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AE7104" w:rsidRPr="006F2CA2" w:rsidRDefault="006848A5" w:rsidP="006F2CA2">
            <w:pPr>
              <w:spacing w:after="0" w:line="259" w:lineRule="auto"/>
              <w:ind w:left="5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Poj. butli</w:t>
            </w:r>
          </w:p>
        </w:tc>
        <w:tc>
          <w:tcPr>
            <w:tcW w:w="918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AE7104" w:rsidRPr="006F2CA2" w:rsidRDefault="00981B26" w:rsidP="006F2CA2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6F2CA2">
              <w:rPr>
                <w:sz w:val="20"/>
                <w:szCs w:val="20"/>
              </w:rPr>
              <w:t>J.m.</w:t>
            </w:r>
          </w:p>
        </w:tc>
        <w:tc>
          <w:tcPr>
            <w:tcW w:w="1320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AE7104" w:rsidRPr="006F2CA2" w:rsidRDefault="00981B26" w:rsidP="006F2CA2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6F2CA2">
              <w:rPr>
                <w:sz w:val="20"/>
                <w:szCs w:val="20"/>
              </w:rPr>
              <w:t>Ilość</w:t>
            </w:r>
          </w:p>
        </w:tc>
        <w:tc>
          <w:tcPr>
            <w:tcW w:w="1468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6F2CA2" w:rsidRDefault="00981B26" w:rsidP="006F2CA2">
            <w:pPr>
              <w:spacing w:after="0" w:line="259" w:lineRule="auto"/>
              <w:ind w:left="336" w:hanging="240"/>
              <w:jc w:val="center"/>
              <w:rPr>
                <w:sz w:val="20"/>
                <w:szCs w:val="20"/>
              </w:rPr>
            </w:pPr>
            <w:r w:rsidRPr="006F2CA2">
              <w:rPr>
                <w:sz w:val="20"/>
                <w:szCs w:val="20"/>
              </w:rPr>
              <w:t xml:space="preserve">Cena netto </w:t>
            </w:r>
          </w:p>
          <w:p w:rsidR="00AE7104" w:rsidRPr="006F2CA2" w:rsidRDefault="006848A5" w:rsidP="006F2CA2">
            <w:pPr>
              <w:spacing w:after="0" w:line="259" w:lineRule="auto"/>
              <w:ind w:left="336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butlę</w:t>
            </w:r>
          </w:p>
        </w:tc>
        <w:tc>
          <w:tcPr>
            <w:tcW w:w="1833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AE7104" w:rsidRPr="006F2CA2" w:rsidRDefault="00981B26" w:rsidP="006F2CA2">
            <w:pPr>
              <w:spacing w:after="0" w:line="259" w:lineRule="auto"/>
              <w:ind w:left="22" w:firstLine="0"/>
              <w:jc w:val="center"/>
              <w:rPr>
                <w:sz w:val="20"/>
                <w:szCs w:val="20"/>
              </w:rPr>
            </w:pPr>
            <w:r w:rsidRPr="006F2CA2">
              <w:rPr>
                <w:sz w:val="20"/>
                <w:szCs w:val="20"/>
              </w:rPr>
              <w:t>Stawka podatku</w:t>
            </w:r>
          </w:p>
          <w:p w:rsidR="00AE7104" w:rsidRPr="006F2CA2" w:rsidRDefault="00981B26" w:rsidP="006F2CA2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6F2CA2">
              <w:rPr>
                <w:sz w:val="20"/>
                <w:szCs w:val="20"/>
              </w:rPr>
              <w:t>VAT</w:t>
            </w:r>
          </w:p>
        </w:tc>
        <w:tc>
          <w:tcPr>
            <w:tcW w:w="1834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AE7104" w:rsidRPr="006F2CA2" w:rsidRDefault="00981B26" w:rsidP="006F2CA2">
            <w:pPr>
              <w:spacing w:after="0" w:line="259" w:lineRule="auto"/>
              <w:ind w:left="76" w:firstLine="0"/>
              <w:jc w:val="center"/>
              <w:rPr>
                <w:sz w:val="20"/>
                <w:szCs w:val="20"/>
              </w:rPr>
            </w:pPr>
            <w:r w:rsidRPr="006F2CA2">
              <w:rPr>
                <w:sz w:val="20"/>
                <w:szCs w:val="20"/>
              </w:rPr>
              <w:t>Wartość brutto</w:t>
            </w:r>
          </w:p>
        </w:tc>
      </w:tr>
      <w:tr w:rsidR="00AE7104" w:rsidTr="006848A5">
        <w:trPr>
          <w:trHeight w:val="558"/>
        </w:trPr>
        <w:tc>
          <w:tcPr>
            <w:tcW w:w="552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AE7104" w:rsidRDefault="006848A5">
            <w:pPr>
              <w:spacing w:after="0" w:line="259" w:lineRule="auto"/>
              <w:ind w:left="104" w:firstLine="0"/>
            </w:pPr>
            <w: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6F2CA2" w:rsidRPr="006848A5" w:rsidRDefault="00981B26" w:rsidP="006848A5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6848A5">
              <w:rPr>
                <w:b/>
              </w:rPr>
              <w:t>Woda mineralna lub źródlana</w:t>
            </w:r>
          </w:p>
          <w:p w:rsidR="00AE7104" w:rsidRPr="006848A5" w:rsidRDefault="00C91C34" w:rsidP="006848A5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81B26" w:rsidRPr="006848A5">
              <w:rPr>
                <w:b/>
              </w:rPr>
              <w:t>iesłodzona</w:t>
            </w:r>
            <w:r>
              <w:rPr>
                <w:b/>
              </w:rPr>
              <w:t>, niegazowana</w:t>
            </w:r>
          </w:p>
        </w:tc>
        <w:tc>
          <w:tcPr>
            <w:tcW w:w="1500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AE7104" w:rsidRPr="006848A5" w:rsidRDefault="00981B26" w:rsidP="006848A5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 w:rsidRPr="006848A5">
              <w:rPr>
                <w:b/>
              </w:rPr>
              <w:t>18,9 l</w:t>
            </w:r>
          </w:p>
        </w:tc>
        <w:tc>
          <w:tcPr>
            <w:tcW w:w="918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AE7104" w:rsidRPr="006848A5" w:rsidRDefault="006848A5" w:rsidP="006848A5">
            <w:pPr>
              <w:spacing w:after="0" w:line="259" w:lineRule="auto"/>
              <w:ind w:left="0" w:right="60" w:firstLine="0"/>
              <w:jc w:val="center"/>
              <w:rPr>
                <w:b/>
              </w:rPr>
            </w:pPr>
            <w:r w:rsidRPr="006848A5">
              <w:rPr>
                <w:b/>
              </w:rPr>
              <w:t>Szt.</w:t>
            </w:r>
          </w:p>
        </w:tc>
        <w:tc>
          <w:tcPr>
            <w:tcW w:w="1320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AE7104" w:rsidRPr="006848A5" w:rsidRDefault="006848A5" w:rsidP="006848A5">
            <w:pPr>
              <w:spacing w:after="0" w:line="259" w:lineRule="auto"/>
              <w:ind w:left="85" w:firstLine="0"/>
              <w:jc w:val="center"/>
              <w:rPr>
                <w:b/>
              </w:rPr>
            </w:pPr>
            <w:r w:rsidRPr="006848A5">
              <w:rPr>
                <w:b/>
              </w:rPr>
              <w:t>2000</w:t>
            </w:r>
          </w:p>
        </w:tc>
        <w:tc>
          <w:tcPr>
            <w:tcW w:w="1468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AE7104" w:rsidRPr="006848A5" w:rsidRDefault="00AE7104" w:rsidP="006848A5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AE7104" w:rsidRPr="006848A5" w:rsidRDefault="00AE7104" w:rsidP="006848A5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AE7104" w:rsidRPr="006848A5" w:rsidRDefault="00AE7104" w:rsidP="006848A5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AE7104" w:rsidTr="006848A5">
        <w:trPr>
          <w:trHeight w:val="270"/>
        </w:trPr>
        <w:tc>
          <w:tcPr>
            <w:tcW w:w="552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nil"/>
            </w:tcBorders>
          </w:tcPr>
          <w:p w:rsidR="00AE7104" w:rsidRDefault="00AE7104">
            <w:pPr>
              <w:spacing w:after="160" w:line="259" w:lineRule="auto"/>
              <w:ind w:left="0" w:firstLine="0"/>
            </w:pPr>
          </w:p>
        </w:tc>
        <w:tc>
          <w:tcPr>
            <w:tcW w:w="3374" w:type="dxa"/>
            <w:tcBorders>
              <w:top w:val="double" w:sz="15" w:space="0" w:color="000000"/>
              <w:left w:val="nil"/>
              <w:bottom w:val="double" w:sz="15" w:space="0" w:color="000000"/>
              <w:right w:val="nil"/>
            </w:tcBorders>
          </w:tcPr>
          <w:p w:rsidR="00AE7104" w:rsidRDefault="00AE7104">
            <w:pPr>
              <w:spacing w:after="160" w:line="259" w:lineRule="auto"/>
              <w:ind w:left="0" w:firstLine="0"/>
            </w:pPr>
          </w:p>
        </w:tc>
        <w:tc>
          <w:tcPr>
            <w:tcW w:w="2418" w:type="dxa"/>
            <w:gridSpan w:val="2"/>
            <w:tcBorders>
              <w:top w:val="double" w:sz="15" w:space="0" w:color="000000"/>
              <w:left w:val="nil"/>
              <w:bottom w:val="double" w:sz="15" w:space="0" w:color="000000"/>
              <w:right w:val="nil"/>
            </w:tcBorders>
          </w:tcPr>
          <w:p w:rsidR="006F2CA2" w:rsidRDefault="006F2CA2" w:rsidP="006F2CA2">
            <w:pPr>
              <w:spacing w:after="0" w:line="259" w:lineRule="auto"/>
              <w:jc w:val="center"/>
            </w:pPr>
            <w:r>
              <w:t xml:space="preserve">               RAZEM</w:t>
            </w:r>
          </w:p>
        </w:tc>
        <w:tc>
          <w:tcPr>
            <w:tcW w:w="1320" w:type="dxa"/>
            <w:tcBorders>
              <w:top w:val="double" w:sz="15" w:space="0" w:color="000000"/>
              <w:left w:val="nil"/>
              <w:bottom w:val="double" w:sz="15" w:space="0" w:color="000000"/>
              <w:right w:val="nil"/>
            </w:tcBorders>
          </w:tcPr>
          <w:p w:rsidR="00AE7104" w:rsidRDefault="006F2CA2">
            <w:pPr>
              <w:spacing w:after="160" w:line="259" w:lineRule="auto"/>
              <w:ind w:left="0" w:firstLine="0"/>
            </w:pPr>
            <w:r>
              <w:t xml:space="preserve">                             </w:t>
            </w:r>
          </w:p>
        </w:tc>
        <w:tc>
          <w:tcPr>
            <w:tcW w:w="1468" w:type="dxa"/>
            <w:tcBorders>
              <w:top w:val="double" w:sz="15" w:space="0" w:color="000000"/>
              <w:left w:val="nil"/>
              <w:bottom w:val="double" w:sz="15" w:space="0" w:color="000000"/>
              <w:right w:val="nil"/>
            </w:tcBorders>
          </w:tcPr>
          <w:p w:rsidR="00AE7104" w:rsidRDefault="00AE7104">
            <w:pPr>
              <w:spacing w:after="160" w:line="259" w:lineRule="auto"/>
              <w:ind w:left="0" w:firstLine="0"/>
            </w:pPr>
          </w:p>
        </w:tc>
        <w:tc>
          <w:tcPr>
            <w:tcW w:w="1833" w:type="dxa"/>
            <w:tcBorders>
              <w:top w:val="double" w:sz="15" w:space="0" w:color="000000"/>
              <w:left w:val="nil"/>
              <w:bottom w:val="double" w:sz="15" w:space="0" w:color="000000"/>
              <w:right w:val="double" w:sz="15" w:space="0" w:color="000000"/>
            </w:tcBorders>
          </w:tcPr>
          <w:p w:rsidR="00AE7104" w:rsidRDefault="00AE7104">
            <w:pPr>
              <w:spacing w:after="160" w:line="259" w:lineRule="auto"/>
              <w:ind w:left="0" w:firstLine="0"/>
            </w:pPr>
          </w:p>
        </w:tc>
        <w:tc>
          <w:tcPr>
            <w:tcW w:w="1834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AE7104" w:rsidRPr="006F2CA2" w:rsidRDefault="006F2CA2">
            <w:pPr>
              <w:spacing w:after="160" w:line="259" w:lineRule="auto"/>
              <w:ind w:left="0" w:firstLine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                </w:t>
            </w:r>
          </w:p>
        </w:tc>
      </w:tr>
    </w:tbl>
    <w:p w:rsidR="0050657E" w:rsidRPr="00981B26" w:rsidRDefault="0050657E" w:rsidP="00981B26">
      <w:pPr>
        <w:spacing w:after="3" w:line="259" w:lineRule="auto"/>
        <w:ind w:left="0" w:right="301" w:firstLine="0"/>
        <w:rPr>
          <w:b/>
          <w:sz w:val="2"/>
          <w:szCs w:val="2"/>
        </w:rPr>
      </w:pPr>
    </w:p>
    <w:p w:rsidR="00C91C34" w:rsidRDefault="00981B26">
      <w:pPr>
        <w:spacing w:after="3" w:line="259" w:lineRule="auto"/>
        <w:ind w:left="10" w:right="301"/>
        <w:jc w:val="center"/>
        <w:rPr>
          <w:b/>
        </w:rPr>
      </w:pPr>
      <w:r>
        <w:rPr>
          <w:b/>
        </w:rPr>
        <w:t xml:space="preserve">         </w:t>
      </w:r>
    </w:p>
    <w:p w:rsidR="00C91C34" w:rsidRPr="00981B26" w:rsidRDefault="00C91C34" w:rsidP="00C91C34">
      <w:pPr>
        <w:tabs>
          <w:tab w:val="center" w:pos="6447"/>
          <w:tab w:val="center" w:pos="8904"/>
        </w:tabs>
        <w:spacing w:after="3" w:line="259" w:lineRule="auto"/>
        <w:ind w:left="0" w:firstLine="0"/>
        <w:rPr>
          <w:b/>
        </w:rPr>
      </w:pPr>
      <w:r>
        <w:rPr>
          <w:b/>
        </w:rPr>
        <w:t xml:space="preserve">               </w:t>
      </w:r>
      <w:r w:rsidRPr="00C91C34">
        <w:rPr>
          <w:b/>
        </w:rPr>
        <w:t>Część II – Dostawa wody mineralnej, gazowanej w butelkach plastikowych 1,5 L</w:t>
      </w:r>
      <w:r>
        <w:rPr>
          <w:b/>
        </w:rPr>
        <w:t xml:space="preserve">                        </w:t>
      </w:r>
    </w:p>
    <w:tbl>
      <w:tblPr>
        <w:tblStyle w:val="TableGrid"/>
        <w:tblW w:w="12799" w:type="dxa"/>
        <w:tblInd w:w="825" w:type="dxa"/>
        <w:tblCellMar>
          <w:top w:w="63" w:type="dxa"/>
          <w:left w:w="102" w:type="dxa"/>
          <w:right w:w="54" w:type="dxa"/>
        </w:tblCellMar>
        <w:tblLook w:val="04A0" w:firstRow="1" w:lastRow="0" w:firstColumn="1" w:lastColumn="0" w:noHBand="0" w:noVBand="1"/>
      </w:tblPr>
      <w:tblGrid>
        <w:gridCol w:w="552"/>
        <w:gridCol w:w="3374"/>
        <w:gridCol w:w="1500"/>
        <w:gridCol w:w="918"/>
        <w:gridCol w:w="1320"/>
        <w:gridCol w:w="1468"/>
        <w:gridCol w:w="1833"/>
        <w:gridCol w:w="1834"/>
      </w:tblGrid>
      <w:tr w:rsidR="00C91C34" w:rsidTr="00151D44">
        <w:trPr>
          <w:trHeight w:val="326"/>
        </w:trPr>
        <w:tc>
          <w:tcPr>
            <w:tcW w:w="552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C91C34" w:rsidRPr="006F2CA2" w:rsidRDefault="00C91C34" w:rsidP="00151D4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F2CA2">
              <w:rPr>
                <w:sz w:val="20"/>
                <w:szCs w:val="20"/>
              </w:rPr>
              <w:t>Lp.</w:t>
            </w:r>
          </w:p>
        </w:tc>
        <w:tc>
          <w:tcPr>
            <w:tcW w:w="3374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C91C34" w:rsidRPr="006F2CA2" w:rsidRDefault="00C91C34" w:rsidP="00151D44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6F2CA2">
              <w:rPr>
                <w:sz w:val="20"/>
                <w:szCs w:val="20"/>
              </w:rPr>
              <w:t>Nazwa</w:t>
            </w:r>
          </w:p>
        </w:tc>
        <w:tc>
          <w:tcPr>
            <w:tcW w:w="1500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C91C34" w:rsidRPr="006F2CA2" w:rsidRDefault="00C91C34" w:rsidP="00151D44">
            <w:pPr>
              <w:spacing w:after="0" w:line="259" w:lineRule="auto"/>
              <w:ind w:left="5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Poj. butelki</w:t>
            </w:r>
          </w:p>
        </w:tc>
        <w:tc>
          <w:tcPr>
            <w:tcW w:w="918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C91C34" w:rsidRPr="006F2CA2" w:rsidRDefault="00C91C34" w:rsidP="00151D44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6F2CA2">
              <w:rPr>
                <w:sz w:val="20"/>
                <w:szCs w:val="20"/>
              </w:rPr>
              <w:t>J.m.</w:t>
            </w:r>
          </w:p>
        </w:tc>
        <w:tc>
          <w:tcPr>
            <w:tcW w:w="1320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C91C34" w:rsidRPr="006F2CA2" w:rsidRDefault="00C91C34" w:rsidP="00151D44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6F2CA2">
              <w:rPr>
                <w:sz w:val="20"/>
                <w:szCs w:val="20"/>
              </w:rPr>
              <w:t>Ilość</w:t>
            </w:r>
          </w:p>
        </w:tc>
        <w:tc>
          <w:tcPr>
            <w:tcW w:w="1468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C91C34" w:rsidRDefault="00C91C34" w:rsidP="00151D44">
            <w:pPr>
              <w:spacing w:after="0" w:line="259" w:lineRule="auto"/>
              <w:ind w:left="336" w:hanging="240"/>
              <w:jc w:val="center"/>
              <w:rPr>
                <w:sz w:val="20"/>
                <w:szCs w:val="20"/>
              </w:rPr>
            </w:pPr>
            <w:r w:rsidRPr="006F2CA2">
              <w:rPr>
                <w:sz w:val="20"/>
                <w:szCs w:val="20"/>
              </w:rPr>
              <w:t xml:space="preserve">Cena netto </w:t>
            </w:r>
          </w:p>
          <w:p w:rsidR="00C91C34" w:rsidRPr="006F2CA2" w:rsidRDefault="00C91C34" w:rsidP="00151D44">
            <w:pPr>
              <w:spacing w:after="0" w:line="259" w:lineRule="auto"/>
              <w:ind w:left="336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butelkę</w:t>
            </w:r>
          </w:p>
        </w:tc>
        <w:tc>
          <w:tcPr>
            <w:tcW w:w="1833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C91C34" w:rsidRPr="006F2CA2" w:rsidRDefault="00C91C34" w:rsidP="00151D44">
            <w:pPr>
              <w:spacing w:after="0" w:line="259" w:lineRule="auto"/>
              <w:ind w:left="22" w:firstLine="0"/>
              <w:jc w:val="center"/>
              <w:rPr>
                <w:sz w:val="20"/>
                <w:szCs w:val="20"/>
              </w:rPr>
            </w:pPr>
            <w:r w:rsidRPr="006F2CA2">
              <w:rPr>
                <w:sz w:val="20"/>
                <w:szCs w:val="20"/>
              </w:rPr>
              <w:t>Stawka podatku</w:t>
            </w:r>
          </w:p>
          <w:p w:rsidR="00C91C34" w:rsidRPr="006F2CA2" w:rsidRDefault="00C91C34" w:rsidP="00151D44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6F2CA2">
              <w:rPr>
                <w:sz w:val="20"/>
                <w:szCs w:val="20"/>
              </w:rPr>
              <w:t>VAT</w:t>
            </w:r>
          </w:p>
        </w:tc>
        <w:tc>
          <w:tcPr>
            <w:tcW w:w="1834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C91C34" w:rsidRPr="006F2CA2" w:rsidRDefault="00C91C34" w:rsidP="00151D44">
            <w:pPr>
              <w:spacing w:after="0" w:line="259" w:lineRule="auto"/>
              <w:ind w:left="76" w:firstLine="0"/>
              <w:jc w:val="center"/>
              <w:rPr>
                <w:sz w:val="20"/>
                <w:szCs w:val="20"/>
              </w:rPr>
            </w:pPr>
            <w:r w:rsidRPr="006F2CA2">
              <w:rPr>
                <w:sz w:val="20"/>
                <w:szCs w:val="20"/>
              </w:rPr>
              <w:t>Wartość brutto</w:t>
            </w:r>
          </w:p>
        </w:tc>
      </w:tr>
      <w:tr w:rsidR="00C91C34" w:rsidTr="00151D44">
        <w:trPr>
          <w:trHeight w:val="558"/>
        </w:trPr>
        <w:tc>
          <w:tcPr>
            <w:tcW w:w="552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C91C34" w:rsidRDefault="00C91C34" w:rsidP="00151D44">
            <w:pPr>
              <w:spacing w:after="0" w:line="259" w:lineRule="auto"/>
              <w:ind w:left="104" w:firstLine="0"/>
            </w:pPr>
            <w: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C91C34" w:rsidRPr="006848A5" w:rsidRDefault="00C91C34" w:rsidP="00C91C34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91C34">
              <w:rPr>
                <w:b/>
              </w:rPr>
              <w:t>Woda mi</w:t>
            </w:r>
            <w:r>
              <w:rPr>
                <w:b/>
              </w:rPr>
              <w:t>neralna niesłodzona, gazowana</w:t>
            </w:r>
          </w:p>
        </w:tc>
        <w:tc>
          <w:tcPr>
            <w:tcW w:w="1500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C91C34" w:rsidRPr="006848A5" w:rsidRDefault="00C91C34" w:rsidP="00151D44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>1,5</w:t>
            </w:r>
            <w:r w:rsidRPr="006848A5">
              <w:rPr>
                <w:b/>
              </w:rPr>
              <w:t xml:space="preserve"> l</w:t>
            </w:r>
          </w:p>
        </w:tc>
        <w:tc>
          <w:tcPr>
            <w:tcW w:w="918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C91C34" w:rsidRPr="006848A5" w:rsidRDefault="00C91C34" w:rsidP="00151D44">
            <w:pPr>
              <w:spacing w:after="0" w:line="259" w:lineRule="auto"/>
              <w:ind w:left="0" w:right="60" w:firstLine="0"/>
              <w:jc w:val="center"/>
              <w:rPr>
                <w:b/>
              </w:rPr>
            </w:pPr>
            <w:r w:rsidRPr="006848A5">
              <w:rPr>
                <w:b/>
              </w:rPr>
              <w:t>Szt.</w:t>
            </w:r>
          </w:p>
        </w:tc>
        <w:tc>
          <w:tcPr>
            <w:tcW w:w="1320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C91C34" w:rsidRPr="006848A5" w:rsidRDefault="00C91C34" w:rsidP="00151D44">
            <w:pPr>
              <w:spacing w:after="0" w:line="259" w:lineRule="auto"/>
              <w:ind w:left="85" w:firstLine="0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468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C91C34" w:rsidRPr="006848A5" w:rsidRDefault="00C91C34" w:rsidP="00151D44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C91C34" w:rsidRPr="006848A5" w:rsidRDefault="00C91C34" w:rsidP="00151D44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C91C34" w:rsidRPr="006848A5" w:rsidRDefault="00C91C34" w:rsidP="00151D44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C91C34" w:rsidTr="00151D44">
        <w:trPr>
          <w:trHeight w:val="270"/>
        </w:trPr>
        <w:tc>
          <w:tcPr>
            <w:tcW w:w="552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nil"/>
            </w:tcBorders>
          </w:tcPr>
          <w:p w:rsidR="00C91C34" w:rsidRDefault="00C91C34" w:rsidP="00151D44">
            <w:pPr>
              <w:spacing w:after="160" w:line="259" w:lineRule="auto"/>
              <w:ind w:left="0" w:firstLine="0"/>
            </w:pPr>
          </w:p>
        </w:tc>
        <w:tc>
          <w:tcPr>
            <w:tcW w:w="3374" w:type="dxa"/>
            <w:tcBorders>
              <w:top w:val="double" w:sz="15" w:space="0" w:color="000000"/>
              <w:left w:val="nil"/>
              <w:bottom w:val="double" w:sz="15" w:space="0" w:color="000000"/>
              <w:right w:val="nil"/>
            </w:tcBorders>
          </w:tcPr>
          <w:p w:rsidR="00C91C34" w:rsidRDefault="00C91C34" w:rsidP="00151D44">
            <w:pPr>
              <w:spacing w:after="160" w:line="259" w:lineRule="auto"/>
              <w:ind w:left="0" w:firstLine="0"/>
            </w:pPr>
          </w:p>
        </w:tc>
        <w:tc>
          <w:tcPr>
            <w:tcW w:w="2418" w:type="dxa"/>
            <w:gridSpan w:val="2"/>
            <w:tcBorders>
              <w:top w:val="double" w:sz="15" w:space="0" w:color="000000"/>
              <w:left w:val="nil"/>
              <w:bottom w:val="double" w:sz="15" w:space="0" w:color="000000"/>
              <w:right w:val="nil"/>
            </w:tcBorders>
          </w:tcPr>
          <w:p w:rsidR="00C91C34" w:rsidRDefault="00C91C34" w:rsidP="00151D44">
            <w:pPr>
              <w:spacing w:after="0" w:line="259" w:lineRule="auto"/>
              <w:jc w:val="center"/>
            </w:pPr>
            <w:r>
              <w:t xml:space="preserve">               RAZEM</w:t>
            </w:r>
          </w:p>
        </w:tc>
        <w:tc>
          <w:tcPr>
            <w:tcW w:w="1320" w:type="dxa"/>
            <w:tcBorders>
              <w:top w:val="double" w:sz="15" w:space="0" w:color="000000"/>
              <w:left w:val="nil"/>
              <w:bottom w:val="double" w:sz="15" w:space="0" w:color="000000"/>
              <w:right w:val="nil"/>
            </w:tcBorders>
          </w:tcPr>
          <w:p w:rsidR="00C91C34" w:rsidRDefault="00C91C34" w:rsidP="00151D44">
            <w:pPr>
              <w:spacing w:after="160" w:line="259" w:lineRule="auto"/>
              <w:ind w:left="0" w:firstLine="0"/>
            </w:pPr>
            <w:r>
              <w:t xml:space="preserve">                             </w:t>
            </w:r>
          </w:p>
        </w:tc>
        <w:tc>
          <w:tcPr>
            <w:tcW w:w="1468" w:type="dxa"/>
            <w:tcBorders>
              <w:top w:val="double" w:sz="15" w:space="0" w:color="000000"/>
              <w:left w:val="nil"/>
              <w:bottom w:val="double" w:sz="15" w:space="0" w:color="000000"/>
              <w:right w:val="nil"/>
            </w:tcBorders>
          </w:tcPr>
          <w:p w:rsidR="00C91C34" w:rsidRDefault="00C91C34" w:rsidP="00151D44">
            <w:pPr>
              <w:spacing w:after="160" w:line="259" w:lineRule="auto"/>
              <w:ind w:left="0" w:firstLine="0"/>
            </w:pPr>
          </w:p>
        </w:tc>
        <w:tc>
          <w:tcPr>
            <w:tcW w:w="1833" w:type="dxa"/>
            <w:tcBorders>
              <w:top w:val="double" w:sz="15" w:space="0" w:color="000000"/>
              <w:left w:val="nil"/>
              <w:bottom w:val="double" w:sz="15" w:space="0" w:color="000000"/>
              <w:right w:val="double" w:sz="15" w:space="0" w:color="000000"/>
            </w:tcBorders>
          </w:tcPr>
          <w:p w:rsidR="00C91C34" w:rsidRDefault="00C91C34" w:rsidP="00151D44">
            <w:pPr>
              <w:spacing w:after="160" w:line="259" w:lineRule="auto"/>
              <w:ind w:left="0" w:firstLine="0"/>
            </w:pPr>
          </w:p>
        </w:tc>
        <w:tc>
          <w:tcPr>
            <w:tcW w:w="1834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C91C34" w:rsidRPr="006F2CA2" w:rsidRDefault="00C91C34" w:rsidP="00151D44">
            <w:pPr>
              <w:spacing w:after="160" w:line="259" w:lineRule="auto"/>
              <w:ind w:left="0" w:firstLine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                </w:t>
            </w:r>
          </w:p>
        </w:tc>
      </w:tr>
    </w:tbl>
    <w:p w:rsidR="00AE7104" w:rsidRDefault="00981B26">
      <w:pPr>
        <w:spacing w:after="3" w:line="259" w:lineRule="auto"/>
        <w:ind w:left="10" w:right="301"/>
        <w:jc w:val="center"/>
      </w:pPr>
      <w:r>
        <w:rPr>
          <w:b/>
        </w:rPr>
        <w:t>Warunki zamówienia:</w:t>
      </w:r>
    </w:p>
    <w:p w:rsidR="00AE7104" w:rsidRPr="006F2CA2" w:rsidRDefault="00981B26">
      <w:pPr>
        <w:numPr>
          <w:ilvl w:val="0"/>
          <w:numId w:val="1"/>
        </w:numPr>
        <w:ind w:hanging="420"/>
        <w:rPr>
          <w:sz w:val="20"/>
          <w:szCs w:val="20"/>
        </w:rPr>
      </w:pPr>
      <w:r w:rsidRPr="006F2CA2">
        <w:rPr>
          <w:sz w:val="20"/>
          <w:szCs w:val="20"/>
        </w:rPr>
        <w:t>Jakość wody musi odpowiadać aktualnie obowiązującym przepisom prawa.</w:t>
      </w:r>
    </w:p>
    <w:p w:rsidR="00AE7104" w:rsidRPr="006F2CA2" w:rsidRDefault="00981B26">
      <w:pPr>
        <w:numPr>
          <w:ilvl w:val="0"/>
          <w:numId w:val="1"/>
        </w:numPr>
        <w:ind w:hanging="420"/>
        <w:rPr>
          <w:sz w:val="20"/>
          <w:szCs w:val="20"/>
        </w:rPr>
      </w:pPr>
      <w:r w:rsidRPr="006F2CA2">
        <w:rPr>
          <w:sz w:val="20"/>
          <w:szCs w:val="20"/>
        </w:rPr>
        <w:t xml:space="preserve">Termin związania ofertą wynosi 30 dni od daty złożenia oferty. </w:t>
      </w:r>
    </w:p>
    <w:p w:rsidR="00AE7104" w:rsidRPr="006F2CA2" w:rsidRDefault="00981B26">
      <w:pPr>
        <w:numPr>
          <w:ilvl w:val="0"/>
          <w:numId w:val="1"/>
        </w:numPr>
        <w:ind w:hanging="420"/>
        <w:rPr>
          <w:sz w:val="20"/>
          <w:szCs w:val="20"/>
        </w:rPr>
      </w:pPr>
      <w:r w:rsidRPr="006F2CA2">
        <w:rPr>
          <w:sz w:val="20"/>
          <w:szCs w:val="20"/>
        </w:rPr>
        <w:t>Wykonawca zamówienia musi posiadać wyniki aktualnej analizy fizyko – chemicznej oraz aktualny atest PZH oferowanej wody.</w:t>
      </w:r>
    </w:p>
    <w:p w:rsidR="00AE7104" w:rsidRPr="006848A5" w:rsidRDefault="00981B26" w:rsidP="006848A5">
      <w:pPr>
        <w:numPr>
          <w:ilvl w:val="0"/>
          <w:numId w:val="1"/>
        </w:numPr>
        <w:ind w:hanging="420"/>
        <w:rPr>
          <w:sz w:val="20"/>
          <w:szCs w:val="20"/>
        </w:rPr>
      </w:pPr>
      <w:r w:rsidRPr="006F2CA2">
        <w:rPr>
          <w:sz w:val="20"/>
          <w:szCs w:val="20"/>
        </w:rPr>
        <w:t xml:space="preserve">Wielkość opakowań jednostkowych wynosi: </w:t>
      </w:r>
      <w:r w:rsidRPr="006848A5">
        <w:rPr>
          <w:sz w:val="20"/>
          <w:szCs w:val="20"/>
        </w:rPr>
        <w:t>18,9 litra</w:t>
      </w:r>
      <w:r w:rsidR="00F4555F">
        <w:rPr>
          <w:sz w:val="20"/>
          <w:szCs w:val="20"/>
        </w:rPr>
        <w:t xml:space="preserve"> – butle zwrotne do dostawcy</w:t>
      </w:r>
      <w:r w:rsidR="00F4555F" w:rsidRPr="00F4555F">
        <w:rPr>
          <w:b/>
          <w:sz w:val="20"/>
          <w:szCs w:val="20"/>
          <w:u w:val="single" w:color="000000"/>
        </w:rPr>
        <w:t xml:space="preserve"> </w:t>
      </w:r>
      <w:r w:rsidR="00F4555F" w:rsidRPr="006848A5">
        <w:rPr>
          <w:b/>
          <w:sz w:val="20"/>
          <w:szCs w:val="20"/>
          <w:u w:val="single" w:color="000000"/>
        </w:rPr>
        <w:t>bez kaucji</w:t>
      </w:r>
      <w:r w:rsidR="00C91C34">
        <w:rPr>
          <w:sz w:val="20"/>
          <w:szCs w:val="20"/>
        </w:rPr>
        <w:t xml:space="preserve"> oraz 1,5 litra</w:t>
      </w:r>
      <w:r w:rsidRPr="006848A5">
        <w:rPr>
          <w:sz w:val="20"/>
          <w:szCs w:val="20"/>
        </w:rPr>
        <w:t xml:space="preserve">   - butelki </w:t>
      </w:r>
      <w:r w:rsidR="00F4555F">
        <w:rPr>
          <w:sz w:val="20"/>
          <w:szCs w:val="20"/>
        </w:rPr>
        <w:t xml:space="preserve">bezzwrotne do dostawcy - </w:t>
      </w:r>
      <w:r w:rsidRPr="006848A5">
        <w:rPr>
          <w:sz w:val="20"/>
          <w:szCs w:val="20"/>
        </w:rPr>
        <w:t xml:space="preserve">z tworzywa sztucznego </w:t>
      </w:r>
    </w:p>
    <w:p w:rsidR="00AE7104" w:rsidRPr="006F2CA2" w:rsidRDefault="00981B26">
      <w:pPr>
        <w:numPr>
          <w:ilvl w:val="0"/>
          <w:numId w:val="1"/>
        </w:numPr>
        <w:spacing w:after="12" w:line="259" w:lineRule="auto"/>
        <w:ind w:hanging="420"/>
        <w:rPr>
          <w:sz w:val="20"/>
          <w:szCs w:val="20"/>
        </w:rPr>
      </w:pPr>
      <w:r w:rsidRPr="006F2CA2">
        <w:rPr>
          <w:sz w:val="20"/>
          <w:szCs w:val="20"/>
        </w:rPr>
        <w:t xml:space="preserve">Płatność przelewem w terminie minimum </w:t>
      </w:r>
      <w:r w:rsidR="00C91C34">
        <w:rPr>
          <w:b/>
          <w:sz w:val="20"/>
          <w:szCs w:val="20"/>
          <w:u w:val="single" w:color="000000"/>
        </w:rPr>
        <w:t>14</w:t>
      </w:r>
      <w:r w:rsidRPr="006F2CA2">
        <w:rPr>
          <w:b/>
          <w:sz w:val="20"/>
          <w:szCs w:val="20"/>
          <w:u w:val="single" w:color="000000"/>
        </w:rPr>
        <w:t xml:space="preserve"> dni od dnia otrzymania faktury od dostawcy</w:t>
      </w:r>
      <w:r w:rsidRPr="006F2CA2">
        <w:rPr>
          <w:sz w:val="20"/>
          <w:szCs w:val="20"/>
        </w:rPr>
        <w:t>.</w:t>
      </w:r>
    </w:p>
    <w:p w:rsidR="00AE7104" w:rsidRPr="006F2CA2" w:rsidRDefault="00981B26">
      <w:pPr>
        <w:numPr>
          <w:ilvl w:val="0"/>
          <w:numId w:val="1"/>
        </w:numPr>
        <w:ind w:hanging="420"/>
        <w:rPr>
          <w:sz w:val="20"/>
          <w:szCs w:val="20"/>
        </w:rPr>
      </w:pPr>
      <w:r w:rsidRPr="006F2CA2">
        <w:rPr>
          <w:sz w:val="20"/>
          <w:szCs w:val="20"/>
        </w:rPr>
        <w:t>Dostawa na koszt wykonawcy zamówienia. Dostawy winny być realizowane do ma</w:t>
      </w:r>
      <w:r w:rsidR="006848A5">
        <w:rPr>
          <w:sz w:val="20"/>
          <w:szCs w:val="20"/>
        </w:rPr>
        <w:t>gazynu żywnościowego Nadbużańskiego</w:t>
      </w:r>
      <w:r w:rsidRPr="006F2CA2">
        <w:rPr>
          <w:sz w:val="20"/>
          <w:szCs w:val="20"/>
        </w:rPr>
        <w:t xml:space="preserve"> Oddziału </w:t>
      </w:r>
      <w:r w:rsidR="006848A5">
        <w:rPr>
          <w:sz w:val="20"/>
          <w:szCs w:val="20"/>
        </w:rPr>
        <w:t>Straży Granicznej,</w:t>
      </w:r>
      <w:r w:rsidR="006848A5">
        <w:rPr>
          <w:sz w:val="20"/>
          <w:szCs w:val="20"/>
        </w:rPr>
        <w:br/>
        <w:t xml:space="preserve">przy ul. </w:t>
      </w:r>
      <w:proofErr w:type="spellStart"/>
      <w:r w:rsidR="006848A5">
        <w:rPr>
          <w:sz w:val="20"/>
          <w:szCs w:val="20"/>
        </w:rPr>
        <w:t>Trubakowskiej</w:t>
      </w:r>
      <w:proofErr w:type="spellEnd"/>
      <w:r w:rsidR="006848A5">
        <w:rPr>
          <w:sz w:val="20"/>
          <w:szCs w:val="20"/>
        </w:rPr>
        <w:t xml:space="preserve"> 2 w Chełmie</w:t>
      </w:r>
      <w:r w:rsidRPr="006F2CA2">
        <w:rPr>
          <w:sz w:val="20"/>
          <w:szCs w:val="20"/>
        </w:rPr>
        <w:t>,</w:t>
      </w:r>
    </w:p>
    <w:p w:rsidR="00AE7104" w:rsidRPr="006F2CA2" w:rsidRDefault="00981B26">
      <w:pPr>
        <w:numPr>
          <w:ilvl w:val="0"/>
          <w:numId w:val="1"/>
        </w:numPr>
        <w:ind w:hanging="420"/>
        <w:rPr>
          <w:sz w:val="20"/>
          <w:szCs w:val="20"/>
        </w:rPr>
      </w:pPr>
      <w:r w:rsidRPr="006F2CA2">
        <w:rPr>
          <w:sz w:val="20"/>
          <w:szCs w:val="20"/>
        </w:rPr>
        <w:t>Termin realizacji zamówienia  - 3 dni kalendarzowe od dnia otrzymania każdego zamówienia.</w:t>
      </w:r>
    </w:p>
    <w:p w:rsidR="00AE7104" w:rsidRPr="006F2CA2" w:rsidRDefault="001752F7">
      <w:pPr>
        <w:numPr>
          <w:ilvl w:val="0"/>
          <w:numId w:val="1"/>
        </w:numPr>
        <w:ind w:hanging="420"/>
        <w:rPr>
          <w:b/>
          <w:sz w:val="20"/>
          <w:szCs w:val="20"/>
        </w:rPr>
      </w:pPr>
      <w:r>
        <w:rPr>
          <w:sz w:val="20"/>
          <w:szCs w:val="20"/>
        </w:rPr>
        <w:t xml:space="preserve">Okres </w:t>
      </w:r>
      <w:r w:rsidR="00C91C34">
        <w:rPr>
          <w:sz w:val="20"/>
          <w:szCs w:val="20"/>
        </w:rPr>
        <w:t xml:space="preserve">realizacji zamówienia </w:t>
      </w:r>
      <w:r>
        <w:rPr>
          <w:b/>
          <w:sz w:val="20"/>
          <w:szCs w:val="20"/>
        </w:rPr>
        <w:t>od chwili podpisania umowy do 15.09.2026</w:t>
      </w:r>
      <w:r w:rsidRPr="006F2CA2">
        <w:rPr>
          <w:b/>
          <w:sz w:val="20"/>
          <w:szCs w:val="20"/>
        </w:rPr>
        <w:t>r.</w:t>
      </w:r>
      <w:r w:rsidR="00C91C34" w:rsidRPr="00C91C3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oraz zgodnie ze złożonym zamówieniem</w:t>
      </w:r>
      <w:r w:rsidR="00255863">
        <w:rPr>
          <w:b/>
          <w:sz w:val="20"/>
          <w:szCs w:val="20"/>
        </w:rPr>
        <w:t>.</w:t>
      </w:r>
      <w:r w:rsidR="006848A5">
        <w:rPr>
          <w:b/>
          <w:sz w:val="20"/>
          <w:szCs w:val="20"/>
        </w:rPr>
        <w:t xml:space="preserve"> </w:t>
      </w:r>
    </w:p>
    <w:p w:rsidR="00AE7104" w:rsidRPr="006F2CA2" w:rsidRDefault="00981B26" w:rsidP="00F4555F">
      <w:pPr>
        <w:numPr>
          <w:ilvl w:val="0"/>
          <w:numId w:val="1"/>
        </w:numPr>
        <w:spacing w:line="252" w:lineRule="auto"/>
        <w:ind w:hanging="420"/>
        <w:rPr>
          <w:b/>
          <w:sz w:val="20"/>
          <w:szCs w:val="20"/>
        </w:rPr>
      </w:pPr>
      <w:r w:rsidRPr="006F2CA2">
        <w:rPr>
          <w:sz w:val="20"/>
          <w:szCs w:val="20"/>
        </w:rPr>
        <w:t>Dostawca gwarantuje stałe ceny pr</w:t>
      </w:r>
      <w:r w:rsidR="00C91C34">
        <w:rPr>
          <w:sz w:val="20"/>
          <w:szCs w:val="20"/>
        </w:rPr>
        <w:t xml:space="preserve">zez cały okres dostaw, czyli </w:t>
      </w:r>
      <w:r w:rsidR="00C91C34" w:rsidRPr="00C91C34">
        <w:rPr>
          <w:b/>
          <w:sz w:val="20"/>
          <w:szCs w:val="20"/>
        </w:rPr>
        <w:t>od</w:t>
      </w:r>
      <w:r w:rsidR="00C91C34" w:rsidRPr="00C91C34">
        <w:rPr>
          <w:b/>
        </w:rPr>
        <w:t xml:space="preserve"> </w:t>
      </w:r>
      <w:r w:rsidR="00C91C34" w:rsidRPr="00C91C34">
        <w:rPr>
          <w:b/>
          <w:sz w:val="20"/>
          <w:szCs w:val="20"/>
        </w:rPr>
        <w:t xml:space="preserve">chwili podpisania umowy/ złożenia zamówienia </w:t>
      </w:r>
      <w:r w:rsidR="006848A5" w:rsidRPr="00C91C34">
        <w:rPr>
          <w:b/>
          <w:sz w:val="20"/>
          <w:szCs w:val="20"/>
        </w:rPr>
        <w:t xml:space="preserve"> </w:t>
      </w:r>
      <w:r w:rsidR="006848A5">
        <w:rPr>
          <w:b/>
          <w:sz w:val="20"/>
          <w:szCs w:val="20"/>
        </w:rPr>
        <w:t>do 15.09</w:t>
      </w:r>
      <w:r w:rsidR="00A831CC">
        <w:rPr>
          <w:b/>
          <w:sz w:val="20"/>
          <w:szCs w:val="20"/>
        </w:rPr>
        <w:t>.202</w:t>
      </w:r>
      <w:r w:rsidR="00F3777E">
        <w:rPr>
          <w:b/>
          <w:sz w:val="20"/>
          <w:szCs w:val="20"/>
        </w:rPr>
        <w:t>6</w:t>
      </w:r>
      <w:r w:rsidRPr="006F2CA2">
        <w:rPr>
          <w:b/>
          <w:sz w:val="20"/>
          <w:szCs w:val="20"/>
        </w:rPr>
        <w:t>r.</w:t>
      </w:r>
    </w:p>
    <w:p w:rsidR="00AE7104" w:rsidRPr="006F2CA2" w:rsidRDefault="00981B26">
      <w:pPr>
        <w:numPr>
          <w:ilvl w:val="0"/>
          <w:numId w:val="1"/>
        </w:numPr>
        <w:ind w:hanging="420"/>
        <w:rPr>
          <w:sz w:val="20"/>
          <w:szCs w:val="20"/>
        </w:rPr>
      </w:pPr>
      <w:r w:rsidRPr="006F2CA2">
        <w:rPr>
          <w:sz w:val="20"/>
          <w:szCs w:val="20"/>
        </w:rPr>
        <w:t>Wielkość zamówienia może ulec zmianie</w:t>
      </w:r>
      <w:r w:rsidR="00662B20">
        <w:rPr>
          <w:sz w:val="20"/>
          <w:szCs w:val="20"/>
        </w:rPr>
        <w:t xml:space="preserve"> w</w:t>
      </w:r>
      <w:r w:rsidRPr="006F2CA2">
        <w:rPr>
          <w:sz w:val="20"/>
          <w:szCs w:val="20"/>
        </w:rPr>
        <w:t xml:space="preserve"> górę lub w dół do </w:t>
      </w:r>
      <w:r w:rsidRPr="008C560D">
        <w:rPr>
          <w:b/>
          <w:sz w:val="20"/>
          <w:szCs w:val="20"/>
        </w:rPr>
        <w:t>40 %</w:t>
      </w:r>
      <w:r w:rsidRPr="006F2CA2">
        <w:rPr>
          <w:sz w:val="20"/>
          <w:szCs w:val="20"/>
        </w:rPr>
        <w:t xml:space="preserve">  bez wcześniejszego uzgodnienia.</w:t>
      </w:r>
    </w:p>
    <w:p w:rsidR="00AE7104" w:rsidRPr="006F2CA2" w:rsidRDefault="00981B26" w:rsidP="00F4555F">
      <w:pPr>
        <w:numPr>
          <w:ilvl w:val="0"/>
          <w:numId w:val="1"/>
        </w:numPr>
        <w:spacing w:line="252" w:lineRule="auto"/>
        <w:ind w:hanging="420"/>
        <w:rPr>
          <w:sz w:val="20"/>
          <w:szCs w:val="20"/>
        </w:rPr>
      </w:pPr>
      <w:r w:rsidRPr="006F2CA2">
        <w:rPr>
          <w:sz w:val="20"/>
          <w:szCs w:val="20"/>
        </w:rPr>
        <w:t>W chwili dostawy woda musi mieć minimalny okres przydatnośc</w:t>
      </w:r>
      <w:r w:rsidR="006848A5">
        <w:rPr>
          <w:sz w:val="20"/>
          <w:szCs w:val="20"/>
        </w:rPr>
        <w:t>i do spożycia wynoszący min.</w:t>
      </w:r>
      <w:r w:rsidRPr="006F2CA2">
        <w:rPr>
          <w:sz w:val="20"/>
          <w:szCs w:val="20"/>
        </w:rPr>
        <w:t>6 miesięcy</w:t>
      </w:r>
      <w:r w:rsidR="004C132C">
        <w:rPr>
          <w:sz w:val="20"/>
          <w:szCs w:val="20"/>
        </w:rPr>
        <w:t xml:space="preserve"> od chwili dostawy</w:t>
      </w:r>
      <w:r w:rsidRPr="006F2CA2">
        <w:rPr>
          <w:sz w:val="20"/>
          <w:szCs w:val="20"/>
        </w:rPr>
        <w:t>.</w:t>
      </w:r>
    </w:p>
    <w:p w:rsidR="00AE7104" w:rsidRPr="006F2CA2" w:rsidRDefault="00981B26" w:rsidP="00F4555F">
      <w:pPr>
        <w:numPr>
          <w:ilvl w:val="0"/>
          <w:numId w:val="1"/>
        </w:numPr>
        <w:spacing w:line="252" w:lineRule="auto"/>
        <w:ind w:hanging="420"/>
        <w:rPr>
          <w:sz w:val="20"/>
          <w:szCs w:val="20"/>
        </w:rPr>
      </w:pPr>
      <w:r w:rsidRPr="006F2CA2">
        <w:rPr>
          <w:sz w:val="20"/>
          <w:szCs w:val="20"/>
        </w:rPr>
        <w:t>Dostawy win</w:t>
      </w:r>
      <w:r w:rsidR="003C0412">
        <w:rPr>
          <w:sz w:val="20"/>
          <w:szCs w:val="20"/>
        </w:rPr>
        <w:t>ny być realizowane do godziny 14</w:t>
      </w:r>
      <w:r w:rsidRPr="006F2CA2">
        <w:rPr>
          <w:sz w:val="20"/>
          <w:szCs w:val="20"/>
        </w:rPr>
        <w:t xml:space="preserve">.00 zgodnie ze złożonym zamówieniem. </w:t>
      </w:r>
    </w:p>
    <w:p w:rsidR="00AE7104" w:rsidRPr="006F2CA2" w:rsidRDefault="00C91C34" w:rsidP="00F4555F">
      <w:pPr>
        <w:numPr>
          <w:ilvl w:val="0"/>
          <w:numId w:val="2"/>
        </w:numPr>
        <w:spacing w:line="252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D</w:t>
      </w:r>
      <w:r w:rsidR="00981B26" w:rsidRPr="006F2CA2">
        <w:rPr>
          <w:sz w:val="20"/>
          <w:szCs w:val="20"/>
        </w:rPr>
        <w:t>opuszcza się</w:t>
      </w:r>
      <w:r>
        <w:rPr>
          <w:sz w:val="20"/>
          <w:szCs w:val="20"/>
        </w:rPr>
        <w:t xml:space="preserve"> składania ofert </w:t>
      </w:r>
      <w:r w:rsidR="00981B26" w:rsidRPr="006F2CA2">
        <w:rPr>
          <w:sz w:val="20"/>
          <w:szCs w:val="20"/>
        </w:rPr>
        <w:t>częściowych.</w:t>
      </w:r>
    </w:p>
    <w:p w:rsidR="00AE7104" w:rsidRPr="006F2CA2" w:rsidRDefault="00981B26" w:rsidP="00F4555F">
      <w:pPr>
        <w:numPr>
          <w:ilvl w:val="0"/>
          <w:numId w:val="2"/>
        </w:numPr>
        <w:spacing w:line="252" w:lineRule="auto"/>
        <w:ind w:hanging="360"/>
        <w:rPr>
          <w:sz w:val="20"/>
          <w:szCs w:val="20"/>
        </w:rPr>
      </w:pPr>
      <w:r w:rsidRPr="006F2CA2">
        <w:rPr>
          <w:sz w:val="20"/>
          <w:szCs w:val="20"/>
        </w:rPr>
        <w:t>Dostawca zobowiązuje się do nieodpłatnego wypożyczenia na okres trwania umowy butli 5-galonowych</w:t>
      </w:r>
      <w:r w:rsidR="006848A5">
        <w:rPr>
          <w:sz w:val="20"/>
          <w:szCs w:val="20"/>
        </w:rPr>
        <w:t xml:space="preserve"> w ilości do 2000 szt.</w:t>
      </w:r>
    </w:p>
    <w:p w:rsidR="00AE7104" w:rsidRDefault="00981B26" w:rsidP="00F4555F">
      <w:pPr>
        <w:numPr>
          <w:ilvl w:val="0"/>
          <w:numId w:val="2"/>
        </w:numPr>
        <w:spacing w:line="252" w:lineRule="auto"/>
        <w:ind w:hanging="360"/>
        <w:rPr>
          <w:sz w:val="20"/>
          <w:szCs w:val="20"/>
        </w:rPr>
      </w:pPr>
      <w:r w:rsidRPr="006F2CA2">
        <w:rPr>
          <w:sz w:val="20"/>
          <w:szCs w:val="20"/>
        </w:rPr>
        <w:t xml:space="preserve">Termin zwrotu butelek o pojemności 18,9 litra wynosi minimum 100 dni od ich otrzymania.    </w:t>
      </w:r>
    </w:p>
    <w:p w:rsidR="00F4555F" w:rsidRPr="0065724C" w:rsidRDefault="00F4555F" w:rsidP="00F4555F">
      <w:pPr>
        <w:spacing w:after="0" w:line="240" w:lineRule="auto"/>
        <w:ind w:left="5954"/>
        <w:jc w:val="right"/>
        <w:rPr>
          <w:sz w:val="20"/>
          <w:szCs w:val="20"/>
        </w:rPr>
      </w:pPr>
      <w:r w:rsidRPr="0065724C">
        <w:rPr>
          <w:sz w:val="20"/>
          <w:szCs w:val="20"/>
        </w:rPr>
        <w:t>……………………………………</w:t>
      </w:r>
    </w:p>
    <w:p w:rsidR="008E5CA6" w:rsidRPr="00F4555F" w:rsidRDefault="00F4555F" w:rsidP="00F4555F">
      <w:pPr>
        <w:spacing w:after="0" w:line="240" w:lineRule="auto"/>
        <w:ind w:left="595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Podpis osoby upoważnionej</w:t>
      </w:r>
    </w:p>
    <w:sectPr w:rsidR="008E5CA6" w:rsidRPr="00F4555F" w:rsidSect="006F2CA2">
      <w:pgSz w:w="16838" w:h="11906" w:orient="landscape"/>
      <w:pgMar w:top="170" w:right="1418" w:bottom="170" w:left="120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E76AE"/>
    <w:multiLevelType w:val="hybridMultilevel"/>
    <w:tmpl w:val="A0E63A40"/>
    <w:lvl w:ilvl="0" w:tplc="317E05E0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AE5ED2">
      <w:start w:val="1"/>
      <w:numFmt w:val="lowerLetter"/>
      <w:lvlText w:val="%2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5E41AE">
      <w:start w:val="1"/>
      <w:numFmt w:val="lowerRoman"/>
      <w:lvlText w:val="%3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6C078">
      <w:start w:val="1"/>
      <w:numFmt w:val="decimal"/>
      <w:lvlText w:val="%4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6D354">
      <w:start w:val="1"/>
      <w:numFmt w:val="lowerLetter"/>
      <w:lvlText w:val="%5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6A632">
      <w:start w:val="1"/>
      <w:numFmt w:val="lowerRoman"/>
      <w:lvlText w:val="%6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6B040">
      <w:start w:val="1"/>
      <w:numFmt w:val="decimal"/>
      <w:lvlText w:val="%7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68C00A">
      <w:start w:val="1"/>
      <w:numFmt w:val="lowerLetter"/>
      <w:lvlText w:val="%8"/>
      <w:lvlJc w:val="left"/>
      <w:pPr>
        <w:ind w:left="5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E401C">
      <w:start w:val="1"/>
      <w:numFmt w:val="lowerRoman"/>
      <w:lvlText w:val="%9"/>
      <w:lvlJc w:val="left"/>
      <w:pPr>
        <w:ind w:left="6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B029DA"/>
    <w:multiLevelType w:val="hybridMultilevel"/>
    <w:tmpl w:val="B4747D24"/>
    <w:lvl w:ilvl="0" w:tplc="70EC84A6">
      <w:start w:val="1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E38CC">
      <w:start w:val="1"/>
      <w:numFmt w:val="bullet"/>
      <w:lvlText w:val="-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D049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846C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C33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A257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2E4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8F6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81D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04"/>
    <w:rsid w:val="001752F7"/>
    <w:rsid w:val="002056E1"/>
    <w:rsid w:val="00255863"/>
    <w:rsid w:val="0026517D"/>
    <w:rsid w:val="002820DF"/>
    <w:rsid w:val="003C0412"/>
    <w:rsid w:val="004C132C"/>
    <w:rsid w:val="0050657E"/>
    <w:rsid w:val="0062465B"/>
    <w:rsid w:val="00662B20"/>
    <w:rsid w:val="006848A5"/>
    <w:rsid w:val="006F2CA2"/>
    <w:rsid w:val="006F7ACD"/>
    <w:rsid w:val="008C560D"/>
    <w:rsid w:val="008E5CA6"/>
    <w:rsid w:val="00981B26"/>
    <w:rsid w:val="00A831CC"/>
    <w:rsid w:val="00A94EB4"/>
    <w:rsid w:val="00AE5884"/>
    <w:rsid w:val="00AE7104"/>
    <w:rsid w:val="00AF3B8A"/>
    <w:rsid w:val="00BF151F"/>
    <w:rsid w:val="00C91C34"/>
    <w:rsid w:val="00CF059F"/>
    <w:rsid w:val="00F3777E"/>
    <w:rsid w:val="00F4555F"/>
    <w:rsid w:val="00F730B5"/>
    <w:rsid w:val="00F8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2DDB5-EAD5-4165-A3B5-9593AF90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C34"/>
    <w:pPr>
      <w:spacing w:after="16" w:line="251" w:lineRule="auto"/>
      <w:ind w:left="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2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CA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B9A2E-3732-4811-A476-2B4C434B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CENOWA</vt:lpstr>
    </vt:vector>
  </TitlesOfParts>
  <Company>Straż Graniczna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CENOWA</dc:title>
  <dc:subject/>
  <dc:creator>ppp</dc:creator>
  <cp:keywords/>
  <cp:lastModifiedBy>Pasieczny Sławomir</cp:lastModifiedBy>
  <cp:revision>2</cp:revision>
  <cp:lastPrinted>2025-05-12T06:05:00Z</cp:lastPrinted>
  <dcterms:created xsi:type="dcterms:W3CDTF">2026-03-19T11:50:00Z</dcterms:created>
  <dcterms:modified xsi:type="dcterms:W3CDTF">2026-03-19T11:50:00Z</dcterms:modified>
</cp:coreProperties>
</file>